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D7" w:rsidRDefault="007442D7" w:rsidP="007442D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145070" cy="840618"/>
            <wp:effectExtent l="19050" t="0" r="0" b="0"/>
            <wp:docPr id="1" name="Рисунок 7" descr="точка роста картинака на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очка роста картинака на сай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255" cy="84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2D7" w:rsidRPr="007442D7" w:rsidRDefault="007442D7" w:rsidP="007442D7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7442D7">
        <w:rPr>
          <w:rFonts w:ascii="Times New Roman" w:hAnsi="Times New Roman" w:cs="Times New Roman"/>
          <w:color w:val="000000"/>
        </w:rPr>
        <w:t>  </w:t>
      </w:r>
      <w:proofErr w:type="gramStart"/>
      <w:r w:rsidRPr="007442D7">
        <w:rPr>
          <w:rFonts w:ascii="Times New Roman" w:hAnsi="Times New Roman" w:cs="Times New Roman"/>
          <w:b w:val="0"/>
          <w:i w:val="0"/>
          <w:color w:val="000000"/>
        </w:rPr>
        <w:t>С 1 сентября 2021 года в рамках федерального проекта «Современная школа» национального проекта «Образование» в МКОУ «</w:t>
      </w:r>
      <w:proofErr w:type="spellStart"/>
      <w:r w:rsidRPr="007442D7">
        <w:rPr>
          <w:rFonts w:ascii="Times New Roman" w:hAnsi="Times New Roman" w:cs="Times New Roman"/>
          <w:b w:val="0"/>
          <w:i w:val="0"/>
          <w:color w:val="000000"/>
        </w:rPr>
        <w:t>Усишинская</w:t>
      </w:r>
      <w:proofErr w:type="spellEnd"/>
      <w:r w:rsidRPr="007442D7">
        <w:rPr>
          <w:rFonts w:ascii="Times New Roman" w:hAnsi="Times New Roman" w:cs="Times New Roman"/>
          <w:b w:val="0"/>
          <w:i w:val="0"/>
          <w:color w:val="000000"/>
        </w:rPr>
        <w:t xml:space="preserve"> СОШ №3» начал работу Центр образования естественнонаучной и технологической направленностей «Точка роста», нацеленный на повышение качества подготовки школьников.</w:t>
      </w:r>
      <w:proofErr w:type="gramEnd"/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7442D7">
        <w:t xml:space="preserve"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местности, расширения возможностей обучающихся в освоении учебных предметов </w:t>
      </w:r>
      <w:proofErr w:type="spellStart"/>
      <w:r w:rsidRPr="007442D7">
        <w:t>естественно-научной</w:t>
      </w:r>
      <w:proofErr w:type="spellEnd"/>
      <w:r w:rsidRPr="007442D7">
        <w:t xml:space="preserve"> и технологической направленностей, программ дополнительного образования </w:t>
      </w:r>
      <w:proofErr w:type="spellStart"/>
      <w:r w:rsidRPr="007442D7">
        <w:t>естественно-научной</w:t>
      </w:r>
      <w:proofErr w:type="spellEnd"/>
      <w:r w:rsidRPr="007442D7">
        <w:t xml:space="preserve">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  <w:r w:rsidRPr="007442D7">
        <w:t xml:space="preserve"> Для этого на базе школы обновляются учебные помещения, приобретается современное оборудование, что позволяет расширить содержание образовательных программ, педагогические работники проходят курсы повышения квалификации.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 xml:space="preserve">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</w:t>
      </w:r>
      <w:proofErr w:type="spellStart"/>
      <w:proofErr w:type="gramStart"/>
      <w:r w:rsidRPr="007442D7">
        <w:t>естественно-научной</w:t>
      </w:r>
      <w:proofErr w:type="spellEnd"/>
      <w:proofErr w:type="gramEnd"/>
      <w:r w:rsidRPr="007442D7">
        <w:t xml:space="preserve"> и технологической направленностей с использованием современного оборудования.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 xml:space="preserve">То есть у наших учеников </w:t>
      </w:r>
      <w:proofErr w:type="gramStart"/>
      <w:r w:rsidRPr="007442D7">
        <w:t>появится</w:t>
      </w:r>
      <w:proofErr w:type="gramEnd"/>
      <w:r w:rsidRPr="007442D7">
        <w:t xml:space="preserve"> возможность получать знания, которые соответствуют современным реалиям, возможность проявлять свои способности и таланты в естественнонаучном и технологическом направлении.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Центр «Точка роста» является частью образовательной среды школы, на базе которой осуществляется: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— преподавание учебных предметов из предметной области «</w:t>
      </w:r>
      <w:proofErr w:type="spellStart"/>
      <w:proofErr w:type="gramStart"/>
      <w:r w:rsidRPr="007442D7">
        <w:t>Естественно-научные</w:t>
      </w:r>
      <w:proofErr w:type="spellEnd"/>
      <w:proofErr w:type="gramEnd"/>
      <w:r w:rsidRPr="007442D7">
        <w:t xml:space="preserve"> предметы»;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— проведение курсов по выбору обучающихся на уровнях основного общего и среднего общего образования;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 xml:space="preserve">— внеурочная деятельность для поддержки изучения предметов </w:t>
      </w:r>
      <w:proofErr w:type="spellStart"/>
      <w:proofErr w:type="gramStart"/>
      <w:r w:rsidRPr="007442D7">
        <w:t>естественно-научной</w:t>
      </w:r>
      <w:proofErr w:type="spellEnd"/>
      <w:proofErr w:type="gramEnd"/>
      <w:r w:rsidRPr="007442D7">
        <w:t xml:space="preserve"> и технологической направленностей;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 xml:space="preserve">— дополнительное образование детей по программам </w:t>
      </w:r>
      <w:proofErr w:type="spellStart"/>
      <w:r w:rsidRPr="007442D7">
        <w:t>естественно-научной</w:t>
      </w:r>
      <w:proofErr w:type="spellEnd"/>
      <w:r w:rsidRPr="007442D7">
        <w:t xml:space="preserve"> и </w:t>
      </w:r>
      <w:proofErr w:type="gramStart"/>
      <w:r w:rsidRPr="007442D7">
        <w:t>технологической</w:t>
      </w:r>
      <w:proofErr w:type="gramEnd"/>
      <w:r w:rsidRPr="007442D7">
        <w:t xml:space="preserve"> направленностей;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— проведение внеклассных мероприятий для обучающихся, в том числе конкурсов, интеллектуальных и творческих состязаний, олимпиад;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— организация образовательных мероприятий для детей и педагогов из других образовательных организаций, а также поддержка и взаимодействие с другими общеобразовательными организациями.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 </w:t>
      </w:r>
      <w:hyperlink r:id="rId5" w:history="1">
        <w:r w:rsidRPr="007442D7">
          <w:rPr>
            <w:rStyle w:val="a4"/>
            <w:color w:val="auto"/>
          </w:rPr>
          <w:t>https://edu.gov.ru/</w:t>
        </w:r>
      </w:hyperlink>
      <w:r w:rsidRPr="007442D7">
        <w:t>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 xml:space="preserve">Федеральным оператором мероприятий по созданию Центров «Точка роста» является ФГАОУ ДПО «Академия </w:t>
      </w:r>
      <w:proofErr w:type="spellStart"/>
      <w:r w:rsidRPr="007442D7">
        <w:t>Минпросвещения</w:t>
      </w:r>
      <w:proofErr w:type="spellEnd"/>
      <w:r w:rsidRPr="007442D7">
        <w:t xml:space="preserve"> России». Адрес сайта Федерального оператора: </w:t>
      </w:r>
      <w:hyperlink r:id="rId6" w:history="1">
        <w:r w:rsidRPr="007442D7">
          <w:rPr>
            <w:rStyle w:val="a4"/>
            <w:color w:val="auto"/>
          </w:rPr>
          <w:t>https://apkpro.ru/</w:t>
        </w:r>
      </w:hyperlink>
      <w:r w:rsidRPr="007442D7">
        <w:t>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 xml:space="preserve">Региональным координатором мероприятий по созданию Центров «Точка роста» является Региональный ведомственный проектный офис. Адрес сайта регионального координатора:  </w:t>
      </w:r>
      <w:r w:rsidRPr="007442D7">
        <w:rPr>
          <w:color w:val="555555"/>
          <w:shd w:val="clear" w:color="auto" w:fill="FFFFFF"/>
        </w:rPr>
        <w:t>http://dagminobr.ru.</w:t>
      </w:r>
    </w:p>
    <w:p w:rsidR="007442D7" w:rsidRPr="007442D7" w:rsidRDefault="007442D7" w:rsidP="007442D7">
      <w:pPr>
        <w:pStyle w:val="a3"/>
        <w:shd w:val="clear" w:color="auto" w:fill="FFFFFF"/>
        <w:spacing w:before="0" w:beforeAutospacing="0" w:after="0" w:afterAutospacing="0"/>
      </w:pPr>
      <w:r w:rsidRPr="007442D7"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7" w:history="1">
        <w:r w:rsidRPr="007442D7">
          <w:rPr>
            <w:rStyle w:val="a4"/>
            <w:color w:val="auto"/>
          </w:rPr>
          <w:t>https://edu.gov.ru/national-project/</w:t>
        </w:r>
      </w:hyperlink>
      <w:r w:rsidRPr="007442D7">
        <w:t>.</w:t>
      </w:r>
    </w:p>
    <w:p w:rsidR="00C51AB6" w:rsidRDefault="00C51AB6"/>
    <w:sectPr w:rsidR="00C51AB6" w:rsidSect="00744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42D7"/>
    <w:rsid w:val="007442D7"/>
    <w:rsid w:val="00C51AB6"/>
    <w:rsid w:val="00EE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42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42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7442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442D7"/>
    <w:rPr>
      <w:color w:val="0000FF"/>
      <w:u w:val="single"/>
    </w:rPr>
  </w:style>
  <w:style w:type="paragraph" w:customStyle="1" w:styleId="Default">
    <w:name w:val="Default"/>
    <w:rsid w:val="00744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gov.ru/national-proje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kpro.ru/" TargetMode="External"/><Relationship Id="rId5" Type="http://schemas.openxmlformats.org/officeDocument/2006/relationships/hyperlink" Target="https://edu.gov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2022-06-01T18:51:00Z</dcterms:created>
  <dcterms:modified xsi:type="dcterms:W3CDTF">2022-06-01T18:51:00Z</dcterms:modified>
</cp:coreProperties>
</file>